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Акт приёма-передачи</w:t>
      </w:r>
    </w:p>
    <w:p>
      <w:pPr>
        <w:jc w:val="center"/>
      </w:pPr>
      <w:r>
        <w:rPr>
          <w:i/>
          <w:sz w:val="18"/>
        </w:rPr>
        <w:t>Универсальный акт к договору</w:t>
      </w:r>
    </w:p>
    <w:p>
      <w:r>
        <w:rPr>
          <w:b/>
        </w:rPr>
        <w:t xml:space="preserve">Источник: </w:t>
      </w:r>
      <w:r>
        <w:t>ГК РФ; соответствующий договор.</w:t>
      </w:r>
    </w:p>
    <w:p>
      <w:r>
        <w:rPr>
          <w:b/>
          <w:sz w:val="22"/>
        </w:rPr>
        <w:t>Стороны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Передающая сторона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Принимающая сторона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Договор-основание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Предмет передачи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имущества/работ/документов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Количество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Состояние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Комплектность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Замечания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Недостатки / отсутствие замечаний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Срок устранения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