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Апелляционная жалоба в арбитражный суд</w:t>
      </w:r>
    </w:p>
    <w:p>
      <w:pPr>
        <w:jc w:val="center"/>
      </w:pPr>
      <w:r>
        <w:rPr>
          <w:i/>
          <w:sz w:val="18"/>
        </w:rPr>
        <w:t>Шаблон жалобы</w:t>
      </w:r>
    </w:p>
    <w:p>
      <w:r>
        <w:rPr>
          <w:b/>
        </w:rPr>
        <w:t xml:space="preserve">Правовая основа: </w:t>
      </w:r>
      <w:r>
        <w:t>Арбитражный процессуальный кодекс РФ.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Обжалуемый судебный акт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Нарушения суда первой инстанции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Доводы и доказательства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Просительная часть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прилагаемых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участникам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