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Кассационная жалоба в арбитражный суд</w:t>
      </w:r>
    </w:p>
    <w:p>
      <w:pPr>
        <w:jc w:val="center"/>
      </w:pPr>
      <w:r>
        <w:rPr>
          <w:i/>
          <w:sz w:val="18"/>
        </w:rPr>
        <w:t>Шаблон жалобы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Обжалуемые акты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Существенные нарушения норм права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Просительная часть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