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Исковое заявление о взыскании задолженности</w:t>
      </w:r>
    </w:p>
    <w:p>
      <w:pPr>
        <w:jc w:val="center"/>
      </w:pPr>
      <w:r>
        <w:rPr>
          <w:i/>
          <w:sz w:val="18"/>
        </w:rPr>
        <w:t>Шаблон для арбитражного суда</w:t>
      </w:r>
    </w:p>
    <w:p>
      <w:r>
        <w:rPr>
          <w:b/>
        </w:rPr>
        <w:t xml:space="preserve">Правовая основа: </w:t>
      </w:r>
      <w:r>
        <w:t>АПК РФ, в том числе ст. 125–126; нормы материального права по спору.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Суд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арбитражного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Истец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Ответчик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Цена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Основной долг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Неустойка/проценты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Госпошлина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Договор/основание обязательства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Исполнение истцом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Нарушение ответчиком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Претензионный порядок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Просительная часть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Взыскать основной долг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Взыскать неустойку/проценты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Взыскать судебные расходы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Договор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Первичные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Претензия и доказательства 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Расчет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 об уплате госпошлины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Доверенность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иска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