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об обеспечительных мерах</w:t>
      </w:r>
    </w:p>
    <w:p>
      <w:pPr>
        <w:jc w:val="center"/>
      </w:pPr>
      <w:r>
        <w:rPr>
          <w:i/>
          <w:sz w:val="18"/>
        </w:rPr>
        <w:t>Шаблон ходатайства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Испрашиваемая мера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Обоснование риска неисполнения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Связь меры с предметом спора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Встречное обеспечение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