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Мировое соглашение в арбитражном процессе</w:t>
      </w:r>
    </w:p>
    <w:p>
      <w:pPr>
        <w:jc w:val="center"/>
      </w:pPr>
      <w:r>
        <w:rPr>
          <w:i/>
          <w:sz w:val="18"/>
        </w:rPr>
        <w:t>Шаблон мирового соглашения</w:t>
      </w:r>
    </w:p>
    <w:p>
      <w:r>
        <w:rPr>
          <w:b/>
        </w:rPr>
        <w:t xml:space="preserve">Правовая основа: </w:t>
      </w:r>
      <w:r>
        <w:t>Арбитражный процессуальный кодекс РФ.</w:t>
      </w:r>
    </w:p>
    <w:p>
      <w:r>
        <w:rPr>
          <w:b/>
        </w:rPr>
        <w:t xml:space="preserve">Источник: </w:t>
      </w:r>
      <w:r>
        <w:t>Федеральные арбитражные суды — требования к документам при обращении в суд (arbitr.ru)</w:t>
      </w:r>
    </w:p>
    <w:p>
      <w:r>
        <w:rPr>
          <w:b/>
          <w:sz w:val="22"/>
        </w:rPr>
        <w:t>Реквизиты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Наименование суда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Номер дела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Наименование / Ф.И.О.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ИНН / ОГРН (при наличии)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Адрес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Телефон, e-mail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Содержание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Условия урегулирования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Сроки исполнения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Распределение расходов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Последствия утверждения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Перечень прилагаемых документов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Доказательства направления участникам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