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кредитора о признании должника банкротом</w:t>
      </w:r>
    </w:p>
    <w:p>
      <w:pPr>
        <w:jc w:val="center"/>
      </w:pPr>
      <w:r>
        <w:rPr>
          <w:i/>
          <w:sz w:val="18"/>
        </w:rPr>
        <w:t>Редактируемый процессуальный шаблон</w:t>
      </w:r>
    </w:p>
    <w:p>
      <w:r>
        <w:rPr>
          <w:b/>
        </w:rPr>
        <w:t xml:space="preserve">Правовая основа: </w:t>
      </w:r>
      <w:r>
        <w:t>Федеральный закон № 127-ФЗ; АПК РФ.</w:t>
      </w:r>
    </w:p>
    <w:p>
      <w:r>
        <w:rPr>
          <w:b/>
        </w:rPr>
        <w:t xml:space="preserve">Источник: </w:t>
      </w:r>
      <w:r>
        <w:t>Арбитражные суды / ЕФРСБ — применение Федерального закона о несостоятельности (банкротстве)</w:t>
      </w:r>
    </w:p>
    <w:p>
      <w:r>
        <w:rPr>
          <w:b/>
          <w:sz w:val="22"/>
        </w:rPr>
        <w:t>Суд и дело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Арбитражный суд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 (если есть)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Должник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Основание долга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Размер требований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Судебный акт/исполнительный документ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Кандидатура СРО/арбитражного управляющего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