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Подача документов через «Мой арбитр»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До формирования заявления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подведомственность, подсудность и договорную оговорку.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Соблюсти обязательный претензионный порядок и срок ожидания.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Рассчитать основной долг, проценты/неустойку и цену иска.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Определить надлежащих ответчиков и третьих лиц.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Файлы и приложения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Подписанное заявление в читаемом PDF.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Доказательства договора, исполнения, нарушения и расчёта.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Документы о направлении копий другим участникам.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Документ об уплате пошлины или ходатайство.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Доверенность, диплом представителя и документы о полномочиях — когда требуются.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После отправки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Сохранить подтверждение подачи и номер обращения.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Проверять карточку дела и электронные уведомления.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Исполнить определения суда в срок; направлять копии документов участникам.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Подача документов через «Мой арбитр»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