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 об изменении устава НКО</w:t>
      </w:r>
    </w:p>
    <w:p>
      <w:pPr>
        <w:jc w:val="center"/>
      </w:pPr>
      <w:r>
        <w:rPr>
          <w:i/>
          <w:sz w:val="18"/>
        </w:rPr>
        <w:t>Шаблон решения высшего органа НКО</w:t>
      </w:r>
    </w:p>
    <w:p>
      <w:r>
        <w:rPr>
          <w:b/>
        </w:rPr>
        <w:t xml:space="preserve">Правовая основа: </w:t>
      </w:r>
      <w:r>
        <w:t>Федеральный закон № 7-ФЗ; устав конкретной НКО.</w:t>
      </w:r>
    </w:p>
    <w:p>
      <w:r>
        <w:rPr>
          <w:b/>
        </w:rPr>
        <w:t xml:space="preserve">Источник: </w:t>
      </w:r>
      <w:r>
        <w:t>Минюст России — государственная регистрация некоммерческих организаций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Заседание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Дата и место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Кворум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Председатель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Секретарь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Утвердить изменения / новую редакцию устава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Уполномочить заявителя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Определить порядок подачи в Минюст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