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Протокол общего собрания участников ООО о смене директора</w:t>
      </w:r>
    </w:p>
    <w:p>
      <w:pPr>
        <w:jc w:val="center"/>
      </w:pPr>
      <w:r>
        <w:rPr>
          <w:i/>
          <w:sz w:val="18"/>
        </w:rPr>
        <w:t>Редактируемый корпоративный шаблон</w:t>
      </w:r>
    </w:p>
    <w:p>
      <w:r>
        <w:rPr>
          <w:b/>
        </w:rPr>
        <w:t xml:space="preserve">Правовая основа: </w:t>
      </w:r>
      <w:r>
        <w:t>ГК РФ; Федеральный закон № 14-ФЗ «Об обществах с ограниченной ответственностью».</w:t>
      </w:r>
    </w:p>
    <w:p>
      <w:r>
        <w:rPr>
          <w:b/>
        </w:rPr>
        <w:t xml:space="preserve">Источник: </w:t>
      </w:r>
      <w:r>
        <w:t>ФНС России; ГК РФ; Федеральный закон № 14-ФЗ «Об ООО»</w:t>
      </w:r>
    </w:p>
    <w:p>
      <w:r>
        <w:rPr>
          <w:b/>
          <w:sz w:val="22"/>
        </w:rPr>
        <w:t>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Дата/место собрания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Участники и доли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Кворум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Прекращение полномочий прежнего директора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Назначение нового директора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Результаты голосования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 и подписи уполномоченных лиц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