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Досудебная претензия</w:t>
      </w:r>
    </w:p>
    <w:p>
      <w:pPr>
        <w:jc w:val="center"/>
      </w:pPr>
      <w:r>
        <w:rPr>
          <w:i/>
          <w:sz w:val="18"/>
        </w:rPr>
        <w:t>Универсальный шаблон претензии по договорному спору</w:t>
      </w:r>
    </w:p>
    <w:p>
      <w:r>
        <w:rPr>
          <w:b/>
        </w:rPr>
        <w:t xml:space="preserve">Источник: </w:t>
      </w:r>
      <w:r>
        <w:t>ГК РФ; договор сторон; для арбитражных споров — АПК РФ.</w:t>
      </w:r>
    </w:p>
    <w:p>
      <w:r>
        <w:rPr>
          <w:b/>
          <w:sz w:val="22"/>
        </w:rPr>
        <w:t>Отправитель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Получатель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Договор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Номер и дата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Предмет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Нарушение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Фактические обстоятельства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Сумма задолженности/убытков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Неустойка/проценты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Требования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Что требуется исполнить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Срок исполнения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Реквизиты для оплаты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Документы в подтверждение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