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внесении изменений в реестр товарных знаков</w:t>
      </w:r>
    </w:p>
    <w:p>
      <w:pPr>
        <w:jc w:val="center"/>
      </w:pPr>
      <w:r>
        <w:rPr>
          <w:i/>
          <w:sz w:val="18"/>
        </w:rPr>
        <w:t>Редактируемый Word-бланк по структуре официальной формы Роспатента</w:t>
      </w:r>
    </w:p>
    <w:p>
      <w:r>
        <w:rPr>
          <w:b/>
        </w:rPr>
        <w:t xml:space="preserve">Правовая основа: </w:t>
      </w:r>
      <w:r>
        <w:t>ГК РФ, часть IV; действующие административные регламенты и приказы Минэкономразвития РФ.</w:t>
      </w:r>
    </w:p>
    <w:p>
      <w:r>
        <w:rPr>
          <w:b/>
        </w:rPr>
        <w:t xml:space="preserve">Источник: </w:t>
      </w:r>
      <w:r>
        <w:t>Роспатент — официальные формы заявок, заявлений и ходатайств</w:t>
      </w:r>
    </w:p>
    <w:p>
      <w:r>
        <w:rPr>
          <w:b/>
        </w:rPr>
        <w:t xml:space="preserve">Важно: </w:t>
      </w:r>
      <w:r>
        <w:t>Роспатент публикует собственные DOC/DOCX-бланки. Перед подачей рекомендуется сверить этот файл с актуальным бланком на сайте Роспатента.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Правообладатель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свидетельства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Изменяемые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Основание изменения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приложений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 об уплате пошлины (при необходимости)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